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3852FE24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1E6713">
        <w:t xml:space="preserve">№ </w:t>
      </w:r>
      <w:r w:rsidR="00E257F1">
        <w:t>1</w:t>
      </w:r>
    </w:p>
    <w:p w14:paraId="328E8B69" w14:textId="77777777" w:rsidR="002E1CEE" w:rsidRPr="00945C3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1C1748D" w14:textId="1980EF2E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4391522A" w:rsidR="0090153F" w:rsidRPr="00CF645B" w:rsidRDefault="008D6DDC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02</w:t>
            </w:r>
            <w:r w:rsidR="00DA316A">
              <w:rPr>
                <w:rFonts w:eastAsia="Times New Roman"/>
                <w:color w:val="000000"/>
              </w:rPr>
              <w:t xml:space="preserve"> февраля 202</w:t>
            </w:r>
            <w:r w:rsidR="001416F7">
              <w:rPr>
                <w:rFonts w:eastAsia="Times New Roman"/>
                <w:color w:val="000000"/>
              </w:rPr>
              <w:t>6</w:t>
            </w:r>
            <w:r w:rsidR="00DA316A" w:rsidRPr="0098239E">
              <w:rPr>
                <w:rFonts w:eastAsia="Times New Roman"/>
                <w:color w:val="000000"/>
              </w:rPr>
              <w:t xml:space="preserve"> г. </w:t>
            </w:r>
            <w:r w:rsidR="00792FBC" w:rsidRPr="0098239E">
              <w:rPr>
                <w:rFonts w:eastAsia="Times New Roman"/>
                <w:color w:val="000000"/>
              </w:rPr>
              <w:t>(</w:t>
            </w:r>
            <w:r>
              <w:rPr>
                <w:rFonts w:eastAsia="Times New Roman"/>
                <w:color w:val="000000"/>
              </w:rPr>
              <w:t>ПН</w:t>
            </w:r>
            <w:r w:rsidR="00792FBC" w:rsidRPr="0098239E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DF2C6CE" w14:textId="4AD07EA7" w:rsidR="0090153F" w:rsidRPr="00CF645B" w:rsidRDefault="009F5590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="0090153F" w:rsidRPr="00CF645B">
              <w:rPr>
                <w:color w:val="000000" w:themeColor="text1"/>
              </w:rPr>
              <w:t>00-1</w:t>
            </w:r>
            <w:r w:rsidR="001416F7">
              <w:rPr>
                <w:color w:val="000000" w:themeColor="text1"/>
              </w:rPr>
              <w:t>5</w:t>
            </w:r>
            <w:r w:rsidR="005356DE">
              <w:rPr>
                <w:color w:val="000000" w:themeColor="text1"/>
              </w:rPr>
              <w:t>:</w:t>
            </w:r>
            <w:r w:rsidR="00547A40">
              <w:rPr>
                <w:color w:val="000000" w:themeColor="text1"/>
              </w:rPr>
              <w:t>00</w:t>
            </w:r>
            <w:r w:rsidR="003B36FB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67A85BE3" w:rsidR="00E63639" w:rsidRPr="003B36FB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</w:t>
            </w:r>
            <w:r w:rsidR="003B36FB">
              <w:rPr>
                <w:color w:val="000000"/>
              </w:rPr>
              <w:br/>
            </w:r>
            <w:r>
              <w:rPr>
                <w:color w:val="000000"/>
              </w:rPr>
              <w:t xml:space="preserve">вебинаров </w:t>
            </w:r>
            <w:r w:rsidR="003B36FB">
              <w:rPr>
                <w:color w:val="000000"/>
              </w:rPr>
              <w:t>Контур Толк</w:t>
            </w:r>
          </w:p>
        </w:tc>
      </w:tr>
      <w:tr w:rsidR="0090153F" w:rsidRPr="00CF645B" w14:paraId="39BCBEE3" w14:textId="77777777" w:rsidTr="00D957AE">
        <w:tc>
          <w:tcPr>
            <w:tcW w:w="1504" w:type="dxa"/>
          </w:tcPr>
          <w:p w14:paraId="2CB26862" w14:textId="27B171F2" w:rsidR="0090153F" w:rsidRPr="00CF645B" w:rsidRDefault="009F5590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5356DE"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D1218A">
              <w:rPr>
                <w:b/>
                <w:color w:val="000000" w:themeColor="text1"/>
              </w:rPr>
              <w:t>0</w:t>
            </w:r>
            <w:r w:rsidR="005356D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180B4F" w:rsidRPr="00CF645B" w14:paraId="34CBBF19" w14:textId="77777777" w:rsidTr="00D957AE">
        <w:tc>
          <w:tcPr>
            <w:tcW w:w="1504" w:type="dxa"/>
          </w:tcPr>
          <w:p w14:paraId="700A1470" w14:textId="33179DDF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42A0CABF" w14:textId="17DD69BF" w:rsidR="00180B4F" w:rsidRPr="003B36FB" w:rsidRDefault="00180B4F" w:rsidP="00180B4F">
            <w:pPr>
              <w:spacing w:before="60" w:line="216" w:lineRule="auto"/>
              <w:jc w:val="both"/>
              <w:rPr>
                <w:b/>
                <w:iCs/>
                <w:color w:val="000000" w:themeColor="text1"/>
              </w:rPr>
            </w:pPr>
            <w:r w:rsidRPr="00FC4ED9">
              <w:rPr>
                <w:b/>
                <w:bCs/>
              </w:rPr>
              <w:t xml:space="preserve">Вопросы оплаты труда в </w:t>
            </w:r>
            <w:r>
              <w:rPr>
                <w:b/>
                <w:bCs/>
              </w:rPr>
              <w:t xml:space="preserve">дошкольном </w:t>
            </w:r>
            <w:r w:rsidRPr="00FC4ED9">
              <w:rPr>
                <w:b/>
                <w:bCs/>
              </w:rPr>
              <w:t>образовательном учреждении</w:t>
            </w:r>
          </w:p>
          <w:p w14:paraId="1FE96865" w14:textId="77777777" w:rsidR="005E0123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«Взаимоувязка» положения об оплате труда (далее также – ПОТ) конкретного дошкольного образовательного учреждения с нормами положения об оплате труда муниципального района (городского округа), а также субъекта РФ.</w:t>
            </w:r>
          </w:p>
          <w:p w14:paraId="0DD66B1B" w14:textId="6894E866" w:rsidR="005E0123" w:rsidRDefault="005E0123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Различие между «</w:t>
            </w:r>
            <w:r w:rsidRPr="005E0123">
              <w:rPr>
                <w:i/>
                <w:iCs/>
                <w:color w:val="000000" w:themeColor="text1"/>
              </w:rPr>
              <w:t>Примерн</w:t>
            </w:r>
            <w:r>
              <w:rPr>
                <w:i/>
                <w:iCs/>
                <w:color w:val="000000" w:themeColor="text1"/>
              </w:rPr>
              <w:t>ы</w:t>
            </w:r>
            <w:r w:rsidRPr="005E0123">
              <w:rPr>
                <w:i/>
                <w:iCs/>
                <w:color w:val="000000" w:themeColor="text1"/>
              </w:rPr>
              <w:t>м</w:t>
            </w:r>
            <w:r>
              <w:rPr>
                <w:color w:val="000000" w:themeColor="text1"/>
              </w:rPr>
              <w:t xml:space="preserve"> положением об оплате труда работников образовательных учреждений района» и «Положением об оплате труда работников образовательных учреждений района».</w:t>
            </w:r>
          </w:p>
          <w:p w14:paraId="49E713D9" w14:textId="49061BCC" w:rsidR="005E0123" w:rsidRDefault="005E0123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Учет различных нормативных правовых актов вышестоящего уровня</w:t>
            </w:r>
            <w:r w:rsidR="00180C8B">
              <w:rPr>
                <w:color w:val="000000" w:themeColor="text1"/>
              </w:rPr>
              <w:t xml:space="preserve"> при составлении ПОТ</w:t>
            </w:r>
            <w:r>
              <w:rPr>
                <w:color w:val="000000" w:themeColor="text1"/>
              </w:rPr>
              <w:t>: например, приказа Минпросвещения от 03.11.2023 № 829, Единых рекомендаций на 2026 год и др.</w:t>
            </w:r>
          </w:p>
          <w:p w14:paraId="28876EF6" w14:textId="77777777" w:rsidR="00C21CE1" w:rsidRDefault="00C21CE1" w:rsidP="00C21CE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Составные части заработной платы. Использование структуры заработной платы в соответствии с требованиями законодательства (Трудового кодекса Российской Федерации, приказов Минздравсоцразвития России, Единых рекомендации на 2026 год). Точные формулировки составных частей заработной платы.</w:t>
            </w:r>
          </w:p>
          <w:p w14:paraId="2AF27BB3" w14:textId="33804BE8" w:rsidR="001266E3" w:rsidRDefault="001266E3" w:rsidP="001266E3">
            <w:pPr>
              <w:spacing w:before="60" w:line="216" w:lineRule="auto"/>
              <w:jc w:val="both"/>
            </w:pPr>
            <w:r>
              <w:t>Что считать экономией фонда оплаты труда, отсутствие четкого понятия в федеральных документах.</w:t>
            </w:r>
          </w:p>
          <w:p w14:paraId="0F79FDEA" w14:textId="66306D83" w:rsid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131FA">
              <w:rPr>
                <w:color w:val="000000" w:themeColor="text1"/>
              </w:rPr>
              <w:t>Заработная плата в размере МРОТ: какие составляющие включаются в расчет.</w:t>
            </w:r>
            <w:r w:rsidRPr="003C3D9B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>
              <w:rPr>
                <w:rFonts w:eastAsia="Times New Roman"/>
                <w:color w:val="000000" w:themeColor="text1"/>
              </w:rPr>
              <w:t>Т.н.</w:t>
            </w:r>
            <w:proofErr w:type="gramEnd"/>
            <w:r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«Доплата до МРОТ», недопустимост</w:t>
            </w:r>
            <w:r w:rsidR="00180C8B">
              <w:rPr>
                <w:color w:val="000000" w:themeColor="text1"/>
              </w:rPr>
              <w:t>ь</w:t>
            </w:r>
            <w:r>
              <w:rPr>
                <w:color w:val="000000" w:themeColor="text1"/>
              </w:rPr>
              <w:t xml:space="preserve"> ее указания в ПОТ, штатном расписании, трудовом договоре и приказах учреждения об установлении выплат. Почему «доплата до МРОТ» не считается выплатой компенсационного характера. Примеры показателей, по которым могут быть установлена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«доплата до МРОТ».</w:t>
            </w:r>
          </w:p>
          <w:p w14:paraId="6536AE7D" w14:textId="77777777" w:rsidR="001266E3" w:rsidRDefault="001266E3" w:rsidP="001266E3">
            <w:pPr>
              <w:spacing w:before="60" w:line="216" w:lineRule="auto"/>
              <w:jc w:val="both"/>
            </w:pPr>
            <w:r>
              <w:t>Требования к содержанию Положения об оплате труда. Типичные ошибки составления такого документа.</w:t>
            </w:r>
          </w:p>
          <w:p w14:paraId="4DBF0911" w14:textId="16B1F94B" w:rsidR="00180B4F" w:rsidRPr="00B479BD" w:rsidRDefault="00180B4F" w:rsidP="00C21CE1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180B4F" w:rsidRPr="00CF645B" w14:paraId="12A8801C" w14:textId="77777777" w:rsidTr="00D957AE">
        <w:tc>
          <w:tcPr>
            <w:tcW w:w="1504" w:type="dxa"/>
          </w:tcPr>
          <w:p w14:paraId="18F3D120" w14:textId="786926AF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5CAA771D" w14:textId="3EB28773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80B4F" w:rsidRPr="00CF645B" w14:paraId="6DA01010" w14:textId="77777777" w:rsidTr="00D957AE">
        <w:tc>
          <w:tcPr>
            <w:tcW w:w="1504" w:type="dxa"/>
          </w:tcPr>
          <w:p w14:paraId="65476D37" w14:textId="277152F2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35</w:t>
            </w:r>
            <w:r>
              <w:rPr>
                <w:b/>
                <w:color w:val="000000" w:themeColor="text1"/>
              </w:rPr>
              <w:t>-</w:t>
            </w:r>
            <w:r w:rsidR="008D6DDC">
              <w:rPr>
                <w:b/>
                <w:color w:val="000000" w:themeColor="text1"/>
              </w:rPr>
              <w:t>11</w:t>
            </w:r>
            <w:r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45181B1" w14:textId="28E2E693" w:rsidR="00180B4F" w:rsidRPr="00180C8B" w:rsidRDefault="00180C8B" w:rsidP="00180B4F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proofErr w:type="spellStart"/>
            <w:r w:rsidRPr="00180C8B">
              <w:rPr>
                <w:b/>
                <w:bCs/>
                <w:color w:val="000000" w:themeColor="text1"/>
              </w:rPr>
              <w:t>Окладно</w:t>
            </w:r>
            <w:proofErr w:type="spellEnd"/>
            <w:r w:rsidRPr="00180C8B">
              <w:rPr>
                <w:b/>
                <w:bCs/>
                <w:color w:val="000000" w:themeColor="text1"/>
              </w:rPr>
              <w:t>-ставочная часть. Выплаты компенсационного характера</w:t>
            </w:r>
          </w:p>
          <w:p w14:paraId="5777A678" w14:textId="5B28A92C" w:rsid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Окладно</w:t>
            </w:r>
            <w:proofErr w:type="spellEnd"/>
            <w:r>
              <w:rPr>
                <w:color w:val="000000" w:themeColor="text1"/>
              </w:rPr>
              <w:t xml:space="preserve">-ставочная часть. </w:t>
            </w:r>
            <w:r w:rsidR="00180C8B">
              <w:rPr>
                <w:color w:val="000000" w:themeColor="text1"/>
              </w:rPr>
              <w:t xml:space="preserve">О недопустимости использования понятия «должностной оклад» </w:t>
            </w:r>
            <w:r>
              <w:rPr>
                <w:color w:val="000000" w:themeColor="text1"/>
              </w:rPr>
              <w:t>для должностей воспитателя и др</w:t>
            </w:r>
            <w:r w:rsidR="00180C8B">
              <w:rPr>
                <w:color w:val="000000" w:themeColor="text1"/>
              </w:rPr>
              <w:t>угих</w:t>
            </w:r>
            <w:r>
              <w:rPr>
                <w:color w:val="000000" w:themeColor="text1"/>
              </w:rPr>
              <w:t xml:space="preserve"> педагогических работников.</w:t>
            </w:r>
          </w:p>
          <w:p w14:paraId="47D2C0C1" w14:textId="68AC2E04" w:rsidR="001266E3" w:rsidRDefault="00180C8B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Может ли</w:t>
            </w:r>
            <w:r w:rsidR="001266E3">
              <w:rPr>
                <w:color w:val="000000" w:themeColor="text1"/>
              </w:rPr>
              <w:t xml:space="preserve"> использовать</w:t>
            </w:r>
            <w:r>
              <w:rPr>
                <w:color w:val="000000" w:themeColor="text1"/>
              </w:rPr>
              <w:t>ся</w:t>
            </w:r>
            <w:r w:rsidR="001266E3">
              <w:rPr>
                <w:color w:val="000000" w:themeColor="text1"/>
              </w:rPr>
              <w:t xml:space="preserve"> в ПОТ</w:t>
            </w:r>
            <w:r>
              <w:rPr>
                <w:color w:val="000000" w:themeColor="text1"/>
              </w:rPr>
              <w:t xml:space="preserve"> термин «минимальный оклад»</w:t>
            </w:r>
            <w:r w:rsidR="001266E3">
              <w:rPr>
                <w:color w:val="000000" w:themeColor="text1"/>
              </w:rPr>
              <w:t>.</w:t>
            </w:r>
          </w:p>
          <w:p w14:paraId="6A41C2E3" w14:textId="7E2FBB04" w:rsid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Правомерность учреждения в увеличении размеров окладов (должностных окладов), ставок заработной платы</w:t>
            </w:r>
            <w:r w:rsidR="00180C8B">
              <w:rPr>
                <w:color w:val="000000" w:themeColor="text1"/>
              </w:rPr>
              <w:t xml:space="preserve"> по сравнению с установленными на уровне района</w:t>
            </w:r>
            <w:r>
              <w:rPr>
                <w:color w:val="000000" w:themeColor="text1"/>
              </w:rPr>
              <w:t xml:space="preserve">. </w:t>
            </w:r>
            <w:r w:rsidR="00180C8B">
              <w:rPr>
                <w:color w:val="000000" w:themeColor="text1"/>
              </w:rPr>
              <w:t xml:space="preserve">Мнимые причины, по которым </w:t>
            </w:r>
            <w:r>
              <w:rPr>
                <w:color w:val="000000" w:themeColor="text1"/>
              </w:rPr>
              <w:t>такое действие часто не допускается централизованной бухгалтерией.</w:t>
            </w:r>
          </w:p>
          <w:p w14:paraId="081AFA61" w14:textId="5F1139F9" w:rsid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Сохранение выплаты за квалификационную категорию в случае истечения срока ее действия. Примеры формулировок из отраслевых соглашений. Правомерность ДОУ в сохранении выплаты на срок до одного года.</w:t>
            </w:r>
          </w:p>
          <w:p w14:paraId="0AA59497" w14:textId="79B5DE14" w:rsidR="001266E3" w:rsidRDefault="001266E3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Выплаты компенсационного характера.</w:t>
            </w:r>
          </w:p>
          <w:p w14:paraId="649D56EA" w14:textId="77777777" w:rsidR="001266E3" w:rsidRDefault="001266E3" w:rsidP="001266E3">
            <w:pPr>
              <w:spacing w:before="60" w:line="216" w:lineRule="auto"/>
              <w:jc w:val="both"/>
            </w:pPr>
            <w:r>
              <w:t xml:space="preserve">Постановления Конституционного суда РФ </w:t>
            </w:r>
            <w:r w:rsidRPr="00E32437">
              <w:t>от 28</w:t>
            </w:r>
            <w:r>
              <w:t>.06.</w:t>
            </w:r>
            <w:r w:rsidRPr="00E32437">
              <w:t>2018 № 26-П</w:t>
            </w:r>
            <w:r>
              <w:t xml:space="preserve">, от 16.12.2019 № 40-П, </w:t>
            </w:r>
            <w:r w:rsidRPr="00E32437">
              <w:t>от 27</w:t>
            </w:r>
            <w:r>
              <w:t>.06.</w:t>
            </w:r>
            <w:r w:rsidRPr="00E32437">
              <w:t>2023 №</w:t>
            </w:r>
            <w:r>
              <w:t> </w:t>
            </w:r>
            <w:r w:rsidRPr="00E32437">
              <w:t>35-П</w:t>
            </w:r>
            <w:r>
              <w:t xml:space="preserve">, от 23.09.2024 № 40-П и </w:t>
            </w:r>
            <w:proofErr w:type="spellStart"/>
            <w:r>
              <w:t>мн.др</w:t>
            </w:r>
            <w:proofErr w:type="spellEnd"/>
            <w:r>
              <w:t>. Единые рекомендации по установлению системы оплаты труда на 2026 год.</w:t>
            </w:r>
          </w:p>
          <w:p w14:paraId="5066AB7A" w14:textId="5115A132" w:rsidR="00180B4F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База для расчета выплат за работу в ночное время</w:t>
            </w:r>
            <w:r w:rsidR="00C21CE1">
              <w:rPr>
                <w:color w:val="000000" w:themeColor="text1"/>
              </w:rPr>
              <w:t xml:space="preserve"> (</w:t>
            </w:r>
            <w:r w:rsidR="00514E38">
              <w:rPr>
                <w:color w:val="000000" w:themeColor="text1"/>
              </w:rPr>
              <w:t xml:space="preserve">например, </w:t>
            </w:r>
            <w:r w:rsidR="00C21CE1">
              <w:rPr>
                <w:color w:val="000000" w:themeColor="text1"/>
              </w:rPr>
              <w:t>для сторожей)</w:t>
            </w:r>
            <w:r>
              <w:rPr>
                <w:color w:val="000000" w:themeColor="text1"/>
              </w:rPr>
              <w:t>, за сверхурочную работу. Расчет стоимости одного часа работы работников.</w:t>
            </w:r>
            <w:r w:rsidR="00C21CE1">
              <w:rPr>
                <w:color w:val="000000" w:themeColor="text1"/>
              </w:rPr>
              <w:t xml:space="preserve"> Замена временно отсутствующего воспитателя. Порядок установления доплат и судебная практика.</w:t>
            </w:r>
          </w:p>
          <w:p w14:paraId="5E6F4467" w14:textId="6A663B01" w:rsidR="00180B4F" w:rsidRPr="00CF645B" w:rsidRDefault="00C21CE1" w:rsidP="00180B4F">
            <w:pPr>
              <w:spacing w:before="60" w:line="216" w:lineRule="auto"/>
              <w:rPr>
                <w:b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lastRenderedPageBreak/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80B4F" w:rsidRPr="00CF645B" w14:paraId="648053B1" w14:textId="77777777" w:rsidTr="00D957AE">
        <w:tc>
          <w:tcPr>
            <w:tcW w:w="1504" w:type="dxa"/>
          </w:tcPr>
          <w:p w14:paraId="14F95505" w14:textId="6A3DDC36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</w:t>
            </w:r>
            <w:r w:rsidR="008D6DD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0-12:</w:t>
            </w:r>
            <w:r w:rsidR="008D6DD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C3F53D8" w14:textId="5620DCFF" w:rsidR="00180B4F" w:rsidRPr="00CF645B" w:rsidRDefault="00180B4F" w:rsidP="00180B4F">
            <w:pPr>
              <w:spacing w:before="60" w:line="216" w:lineRule="auto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180B4F" w:rsidRPr="00CF645B" w14:paraId="2EF9B2A5" w14:textId="77777777" w:rsidTr="00D957AE">
        <w:tc>
          <w:tcPr>
            <w:tcW w:w="1504" w:type="dxa"/>
          </w:tcPr>
          <w:p w14:paraId="5A0D40B7" w14:textId="39A577EE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-1</w:t>
            </w:r>
            <w:r w:rsidR="008D6DDC"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13C4820F" w14:textId="77777777" w:rsidR="00180B4F" w:rsidRPr="00C64D30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C4ED9">
              <w:rPr>
                <w:b/>
                <w:bCs/>
                <w:color w:val="000000" w:themeColor="text1"/>
              </w:rPr>
              <w:t>Выплаты стимулирующего характера</w:t>
            </w:r>
          </w:p>
          <w:p w14:paraId="74BE3EE8" w14:textId="14644411" w:rsidR="00180B4F" w:rsidRDefault="00514E38" w:rsidP="00180B4F">
            <w:pPr>
              <w:spacing w:before="60" w:line="216" w:lineRule="auto"/>
              <w:jc w:val="both"/>
            </w:pPr>
            <w:r>
              <w:t>В</w:t>
            </w:r>
            <w:r w:rsidR="00180B4F">
              <w:t>ид</w:t>
            </w:r>
            <w:r>
              <w:t>ы</w:t>
            </w:r>
            <w:r w:rsidR="00180B4F">
              <w:t xml:space="preserve"> выплат стимулирующего характера</w:t>
            </w:r>
            <w:r>
              <w:t xml:space="preserve">: </w:t>
            </w:r>
            <w:r w:rsidR="00180B4F">
              <w:t>выплаты по «эффективному контракту» и разовые единовременные премии.</w:t>
            </w:r>
          </w:p>
          <w:p w14:paraId="4DBB8600" w14:textId="7A68CD7F" w:rsidR="00514E38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Законность установления стимулирующих выплат за сверхнормативный объем рабо</w:t>
            </w:r>
            <w:r w:rsidR="00514E38">
              <w:rPr>
                <w:color w:val="000000" w:themeColor="text1"/>
              </w:rPr>
              <w:t>т</w:t>
            </w:r>
            <w:r>
              <w:rPr>
                <w:color w:val="000000" w:themeColor="text1"/>
              </w:rPr>
              <w:t>, а также за выполнение обязанностей, не предусмотренных должностной инструкцией</w:t>
            </w:r>
            <w:r w:rsidR="00514E38">
              <w:rPr>
                <w:color w:val="000000" w:themeColor="text1"/>
              </w:rPr>
              <w:t xml:space="preserve"> (доп</w:t>
            </w:r>
            <w:r w:rsidR="00180C8B">
              <w:rPr>
                <w:color w:val="000000" w:themeColor="text1"/>
              </w:rPr>
              <w:t>олнительных</w:t>
            </w:r>
            <w:r w:rsidR="00514E38">
              <w:rPr>
                <w:color w:val="000000" w:themeColor="text1"/>
              </w:rPr>
              <w:t xml:space="preserve"> работ)</w:t>
            </w:r>
            <w:r>
              <w:rPr>
                <w:color w:val="000000" w:themeColor="text1"/>
              </w:rPr>
              <w:t>.</w:t>
            </w:r>
          </w:p>
          <w:p w14:paraId="418032BB" w14:textId="222EF876" w:rsidR="00180B4F" w:rsidRDefault="00514E38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Выплаты за сложность и напряженность работ как периодические выплаты</w:t>
            </w:r>
            <w:r w:rsidR="001266E3">
              <w:rPr>
                <w:color w:val="000000" w:themeColor="text1"/>
              </w:rPr>
              <w:t>, не связанные с достижением результата</w:t>
            </w:r>
            <w:r>
              <w:rPr>
                <w:color w:val="000000" w:themeColor="text1"/>
              </w:rPr>
              <w:t>. Методика о</w:t>
            </w:r>
            <w:r w:rsidR="00180B4F">
              <w:rPr>
                <w:color w:val="000000" w:themeColor="text1"/>
              </w:rPr>
              <w:t>ценка сложности работ.</w:t>
            </w:r>
          </w:p>
          <w:p w14:paraId="469C7A04" w14:textId="7724E6E3" w:rsidR="001266E3" w:rsidRDefault="001266E3" w:rsidP="001266E3">
            <w:pPr>
              <w:spacing w:before="60" w:line="216" w:lineRule="auto"/>
              <w:jc w:val="both"/>
            </w:pPr>
            <w:r>
              <w:t>Периодичность оценки деятельности работников учреждения. Существенные условия назначения выплат.</w:t>
            </w:r>
          </w:p>
          <w:p w14:paraId="55023A7E" w14:textId="16C61A43" w:rsidR="001266E3" w:rsidRPr="001266E3" w:rsidRDefault="001266E3" w:rsidP="001266E3">
            <w:pPr>
              <w:spacing w:before="60" w:line="216" w:lineRule="auto"/>
              <w:jc w:val="both"/>
            </w:pPr>
            <w:r>
              <w:t xml:space="preserve">Премирование работников в соответствии со ст. 135 ТК РФ и со ст. 191 ТК РФ. Какое премирование не входит в систему оплаты труда. </w:t>
            </w:r>
            <w:r w:rsidR="00180C8B">
              <w:t xml:space="preserve">Выплата премий </w:t>
            </w:r>
            <w:r>
              <w:t xml:space="preserve">работникам </w:t>
            </w:r>
            <w:r w:rsidR="00180C8B">
              <w:t xml:space="preserve">в </w:t>
            </w:r>
            <w:r>
              <w:t>разных размер</w:t>
            </w:r>
            <w:r w:rsidR="00180C8B">
              <w:t>ах по усмотрению заведующего</w:t>
            </w:r>
            <w:r>
              <w:t>.</w:t>
            </w:r>
          </w:p>
          <w:p w14:paraId="518ACE23" w14:textId="77777777" w:rsid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3C3D9B">
              <w:rPr>
                <w:color w:val="000000" w:themeColor="text1"/>
              </w:rPr>
              <w:t xml:space="preserve">Установление </w:t>
            </w:r>
            <w:r>
              <w:rPr>
                <w:color w:val="000000" w:themeColor="text1"/>
              </w:rPr>
              <w:t xml:space="preserve">стимулирующих выплат: а) </w:t>
            </w:r>
            <w:r w:rsidRPr="003C3D9B">
              <w:rPr>
                <w:color w:val="000000" w:themeColor="text1"/>
              </w:rPr>
              <w:t>в рублях</w:t>
            </w:r>
            <w:r>
              <w:rPr>
                <w:color w:val="000000" w:themeColor="text1"/>
              </w:rPr>
              <w:t>; б)</w:t>
            </w:r>
            <w:r w:rsidRPr="003C3D9B">
              <w:rPr>
                <w:color w:val="000000" w:themeColor="text1"/>
              </w:rPr>
              <w:t xml:space="preserve"> в процентах к</w:t>
            </w:r>
            <w:r>
              <w:rPr>
                <w:color w:val="000000" w:themeColor="text1"/>
              </w:rPr>
              <w:t xml:space="preserve"> окладу (</w:t>
            </w:r>
            <w:r w:rsidRPr="003C3D9B">
              <w:rPr>
                <w:color w:val="000000" w:themeColor="text1"/>
              </w:rPr>
              <w:t>должностному окладу</w:t>
            </w:r>
            <w:r>
              <w:rPr>
                <w:color w:val="000000" w:themeColor="text1"/>
              </w:rPr>
              <w:t>), ставке заработной платы в) в баллах. Преимущества и недостатки всех единиц измерения результатов.</w:t>
            </w:r>
          </w:p>
          <w:p w14:paraId="5512F0CD" w14:textId="77777777" w:rsidR="001266E3" w:rsidRPr="001266E3" w:rsidRDefault="001266E3" w:rsidP="001266E3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Использование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«вилок» в размерах выплат: диапазонов «от» и «до», только «от».</w:t>
            </w:r>
          </w:p>
          <w:p w14:paraId="52ACCB61" w14:textId="77777777" w:rsidR="001266E3" w:rsidRDefault="001266E3" w:rsidP="001266E3">
            <w:pPr>
              <w:spacing w:before="60" w:line="216" w:lineRule="auto"/>
              <w:jc w:val="both"/>
            </w:pPr>
            <w:r>
              <w:t>Комиссия по оплате труда: функции комиссии, ее правовой статус. Ситуации расхождения решения комиссии и мнения заведующего.</w:t>
            </w:r>
          </w:p>
          <w:p w14:paraId="6E2711DD" w14:textId="77777777" w:rsidR="00180B4F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A210E6">
              <w:rPr>
                <w:color w:val="000000" w:themeColor="text1"/>
              </w:rPr>
              <w:t>Основные принципы (правила) разработки показателей оценки работников</w:t>
            </w:r>
            <w:r>
              <w:rPr>
                <w:color w:val="000000" w:themeColor="text1"/>
              </w:rPr>
              <w:t xml:space="preserve"> для выплат стимулирующего характера</w:t>
            </w:r>
            <w:r w:rsidRPr="00A210E6">
              <w:rPr>
                <w:color w:val="000000" w:themeColor="text1"/>
              </w:rPr>
              <w:t>. Примеры индивидуальных и коллективных результатов труда.</w:t>
            </w:r>
            <w:r>
              <w:rPr>
                <w:color w:val="000000" w:themeColor="text1"/>
              </w:rPr>
              <w:t xml:space="preserve"> </w:t>
            </w:r>
            <w:r w:rsidRPr="00A210E6">
              <w:rPr>
                <w:color w:val="000000" w:themeColor="text1"/>
              </w:rPr>
              <w:t>Структурирование показателей оценки деятельности учреждения. Укрупненные группы показателей – основные направления деятельности работников</w:t>
            </w:r>
            <w:r>
              <w:rPr>
                <w:color w:val="000000" w:themeColor="text1"/>
              </w:rPr>
              <w:t>.</w:t>
            </w:r>
          </w:p>
          <w:p w14:paraId="1DDBA938" w14:textId="4A031916" w:rsidR="001266E3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Федеральные документы для разработки показателей: ФГОС, ФОП, ЕКС, ПС и др.</w:t>
            </w:r>
          </w:p>
          <w:p w14:paraId="49788100" w14:textId="6D44AD80" w:rsidR="00180B4F" w:rsidRPr="00CF645B" w:rsidRDefault="00180B4F" w:rsidP="00180B4F">
            <w:pPr>
              <w:spacing w:before="60" w:line="216" w:lineRule="auto"/>
              <w:rPr>
                <w:b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180B4F" w:rsidRPr="00CF645B" w14:paraId="43937B49" w14:textId="77777777" w:rsidTr="008375AD">
        <w:trPr>
          <w:trHeight w:val="226"/>
        </w:trPr>
        <w:tc>
          <w:tcPr>
            <w:tcW w:w="1504" w:type="dxa"/>
          </w:tcPr>
          <w:p w14:paraId="66693A71" w14:textId="26436723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8D6DDC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 w:rsidR="008D6DDC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6DF3F88F" w14:textId="2CEEE793" w:rsidR="00180B4F" w:rsidRPr="00CF645B" w:rsidRDefault="00180B4F" w:rsidP="00180B4F">
            <w:pPr>
              <w:spacing w:before="60" w:line="216" w:lineRule="auto"/>
              <w:rPr>
                <w:b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180B4F" w:rsidRPr="00CF645B" w14:paraId="644B946A" w14:textId="77777777" w:rsidTr="00D957AE">
        <w:tc>
          <w:tcPr>
            <w:tcW w:w="1504" w:type="dxa"/>
          </w:tcPr>
          <w:p w14:paraId="4D55B8BE" w14:textId="0E8B6D41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8D6DDC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8D6DDC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8D6DDC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2C13B74D" w14:textId="77777777" w:rsidR="00180B4F" w:rsidRPr="00C64D30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C4ED9">
              <w:rPr>
                <w:b/>
                <w:bCs/>
                <w:color w:val="000000" w:themeColor="text1"/>
              </w:rPr>
              <w:t>Выплаты стимулирующего характера</w:t>
            </w:r>
            <w:r w:rsidRPr="00C64D30">
              <w:rPr>
                <w:b/>
                <w:color w:val="000000" w:themeColor="text1"/>
              </w:rPr>
              <w:t xml:space="preserve"> (часть </w:t>
            </w:r>
            <w:r>
              <w:rPr>
                <w:b/>
                <w:color w:val="000000" w:themeColor="text1"/>
              </w:rPr>
              <w:t>вторая</w:t>
            </w:r>
            <w:r w:rsidRPr="00C64D30">
              <w:rPr>
                <w:b/>
                <w:color w:val="000000" w:themeColor="text1"/>
              </w:rPr>
              <w:t>)</w:t>
            </w:r>
          </w:p>
          <w:p w14:paraId="0B6BCCFB" w14:textId="77777777" w:rsidR="00180B4F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Условия, при которых выплаты стимулирующего характера не назначаются и не выплачиваются. Ситуация отсутствия средств в фонде оплаты труда на выплаты стимулирующего характера.</w:t>
            </w:r>
          </w:p>
          <w:p w14:paraId="41A38204" w14:textId="77777777" w:rsidR="00180B4F" w:rsidRDefault="00180B4F" w:rsidP="00180B4F">
            <w:pPr>
              <w:snapToGrid w:val="0"/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Снижение выплат стимулирующего характера: основания для снижения и допустимый размер снижения.</w:t>
            </w:r>
          </w:p>
          <w:p w14:paraId="023748EF" w14:textId="77777777" w:rsidR="00C21CE1" w:rsidRDefault="00C21CE1" w:rsidP="00C21CE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об отнесении материальной помощи и выплат в связи с профессиональными праздниками, дополнительных выплат к отпуску и др. к стимулирующей части фонда оплаты труда.</w:t>
            </w:r>
          </w:p>
          <w:p w14:paraId="38BF9C36" w14:textId="46487DFE" w:rsidR="00180B4F" w:rsidRDefault="00180B4F" w:rsidP="00180B4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Счетные, технические и смысловые ошибки при расчете, начислении и выплатах заработной платы. Индивидуальные трудовые споры по начислениям заработной платы, позиции компетентных органов по данным спорам.</w:t>
            </w:r>
          </w:p>
          <w:p w14:paraId="29D88568" w14:textId="77777777" w:rsidR="00180B4F" w:rsidRDefault="00180B4F" w:rsidP="00180B4F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Судебная практика по вопросам установления, начисления и отмены выплат.</w:t>
            </w:r>
          </w:p>
          <w:p w14:paraId="6C9D2970" w14:textId="4654C2FE" w:rsidR="00180B4F" w:rsidRPr="00CF645B" w:rsidRDefault="00C21CE1" w:rsidP="00180B4F">
            <w:pPr>
              <w:spacing w:before="60" w:line="216" w:lineRule="auto"/>
              <w:rPr>
                <w:b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180B4F" w:rsidRPr="00CF645B" w14:paraId="4AE0AF3B" w14:textId="77777777" w:rsidTr="00D957AE">
        <w:tc>
          <w:tcPr>
            <w:tcW w:w="1504" w:type="dxa"/>
          </w:tcPr>
          <w:p w14:paraId="18D084F7" w14:textId="76C7C8F6" w:rsidR="00180B4F" w:rsidRPr="00CF645B" w:rsidRDefault="00180B4F" w:rsidP="00180B4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8D6DDC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8D6DD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1289C895" w14:textId="20D3C15C" w:rsidR="00180B4F" w:rsidRPr="00CF645B" w:rsidRDefault="00180B4F" w:rsidP="00180B4F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73F77A3E" w14:textId="77777777" w:rsidR="00F262B2" w:rsidRDefault="00F262B2" w:rsidP="00F262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</w:p>
    <w:p w14:paraId="757AEDC4" w14:textId="77777777" w:rsidR="008375AD" w:rsidRDefault="008375AD" w:rsidP="00F262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</w:p>
    <w:p w14:paraId="3382C7D7" w14:textId="21BD3DC5" w:rsidR="00F262B2" w:rsidRPr="00FD3505" w:rsidRDefault="00F262B2" w:rsidP="0075709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  <w:r w:rsidRPr="00E257F1">
        <w:rPr>
          <w:rFonts w:eastAsia="Times New Roman"/>
          <w:b/>
          <w:bCs/>
          <w:color w:val="000000" w:themeColor="text1"/>
        </w:rPr>
        <w:br/>
      </w:r>
    </w:p>
    <w:p w14:paraId="49B1AE4D" w14:textId="0742A66A" w:rsidR="00180B4F" w:rsidRPr="003E1C22" w:rsidRDefault="00180B4F" w:rsidP="00180B4F">
      <w:pPr>
        <w:spacing w:line="216" w:lineRule="auto"/>
        <w:ind w:left="1701" w:right="1700"/>
        <w:jc w:val="center"/>
      </w:pPr>
      <w:r w:rsidRPr="003E1C22">
        <w:rPr>
          <w:bCs/>
          <w:color w:val="000000" w:themeColor="text1"/>
        </w:rPr>
        <w:t xml:space="preserve">Вопросы оплаты труда в </w:t>
      </w:r>
      <w:r>
        <w:rPr>
          <w:bCs/>
          <w:color w:val="000000" w:themeColor="text1"/>
        </w:rPr>
        <w:t xml:space="preserve">дошкольном </w:t>
      </w:r>
      <w:r w:rsidRPr="003E1C22">
        <w:rPr>
          <w:bCs/>
          <w:color w:val="000000" w:themeColor="text1"/>
        </w:rPr>
        <w:t>образовательном учреждении</w:t>
      </w:r>
    </w:p>
    <w:p w14:paraId="4078A068" w14:textId="77777777" w:rsidR="00180B4F" w:rsidRPr="009E2607" w:rsidRDefault="00180B4F" w:rsidP="00180B4F">
      <w:pPr>
        <w:spacing w:line="216" w:lineRule="auto"/>
        <w:ind w:left="1701" w:right="1700"/>
        <w:jc w:val="center"/>
      </w:pPr>
    </w:p>
    <w:p w14:paraId="6EAE86DA" w14:textId="325A0100" w:rsid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</w:t>
      </w:r>
      <w:r w:rsidRPr="00FC4ED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«Общие положения» Положения об оплате труда работников дошкольного образовательного учреждения.</w:t>
      </w:r>
    </w:p>
    <w:p w14:paraId="38784791" w14:textId="77777777" w:rsid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Раздел «Выплаты компенсационного характера» Положения об оплате труда.</w:t>
      </w:r>
    </w:p>
    <w:p w14:paraId="795E4E94" w14:textId="77777777" w:rsid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Раздел «Порядок оценки деятельности работников для назначения выплат стимулирующего характера» Положения об оплате труда</w:t>
      </w:r>
      <w:r w:rsidRPr="00E83FD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1F979DB" w14:textId="77777777" w:rsidR="00180B4F" w:rsidRPr="002F1EEE" w:rsidRDefault="00180B4F" w:rsidP="00180B4F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B48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Положение о комиссии по оплате труда работников учреждения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AC48439" w14:textId="77777777" w:rsidR="00180B4F" w:rsidRPr="002F1EEE" w:rsidRDefault="00180B4F" w:rsidP="00180B4F">
      <w:pPr>
        <w:pStyle w:val="af7"/>
        <w:numPr>
          <w:ilvl w:val="0"/>
          <w:numId w:val="39"/>
        </w:numPr>
        <w:spacing w:after="0" w:line="216" w:lineRule="auto"/>
        <w:ind w:hanging="43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F1EEE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протокола заседания комиссии по оплате труда.</w:t>
      </w:r>
    </w:p>
    <w:p w14:paraId="70116B5A" w14:textId="77777777" w:rsidR="00180B4F" w:rsidRPr="009E2607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показателей эффективности работников для назначения выплат стимулирующего характера, размер которых эквивалентен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т.н.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«доплате до МРОТ»</w:t>
      </w:r>
      <w:r w:rsidRPr="009E2607">
        <w:rPr>
          <w:rFonts w:ascii="Times New Roman" w:hAnsi="Times New Roman" w:cs="Times New Roman"/>
          <w:sz w:val="24"/>
          <w:szCs w:val="24"/>
        </w:rPr>
        <w:t>.</w:t>
      </w:r>
    </w:p>
    <w:p w14:paraId="67504411" w14:textId="77777777" w:rsidR="00180B4F" w:rsidRPr="00B60F3F" w:rsidRDefault="00180B4F" w:rsidP="00180B4F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D50416E" w14:textId="77777777" w:rsidR="00180B4F" w:rsidRPr="003E1C22" w:rsidRDefault="00180B4F" w:rsidP="00180B4F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E1C22">
        <w:rPr>
          <w:bCs/>
          <w:color w:val="000000" w:themeColor="text1"/>
        </w:rPr>
        <w:t>Выплаты стимулирующего характера</w:t>
      </w:r>
    </w:p>
    <w:p w14:paraId="5AEAD919" w14:textId="77777777" w:rsidR="00180B4F" w:rsidRPr="00FC1C28" w:rsidRDefault="00180B4F" w:rsidP="00180B4F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E978080" w14:textId="77777777" w:rsidR="00180B4F" w:rsidRPr="001266E3" w:rsidRDefault="00180B4F" w:rsidP="00180B4F">
      <w:pPr>
        <w:pStyle w:val="af7"/>
        <w:numPr>
          <w:ilvl w:val="0"/>
          <w:numId w:val="39"/>
        </w:numPr>
        <w:spacing w:line="216" w:lineRule="auto"/>
        <w:ind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6E3">
        <w:rPr>
          <w:rFonts w:ascii="Times New Roman" w:hAnsi="Times New Roman" w:cs="Times New Roman"/>
          <w:bCs/>
          <w:color w:val="000000"/>
          <w:sz w:val="24"/>
          <w:szCs w:val="24"/>
        </w:rPr>
        <w:t>Раздел «Выплаты стимулирующего характера» Положения об оплате труда</w:t>
      </w:r>
      <w:r w:rsidRPr="001266E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(может быть представлен в отдельном Положении о выплатах стимулирующего характера</w:t>
      </w:r>
      <w:r w:rsidRPr="001266E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1266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A2BAC34" w14:textId="77777777" w:rsidR="00180B4F" w:rsidRPr="001266E3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66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Методика оценки трудовых обязанностей работника для назначения выплат за сложность работы.</w:t>
      </w:r>
    </w:p>
    <w:p w14:paraId="2821A78C" w14:textId="77777777" w:rsidR="00180C8B" w:rsidRPr="00180B4F" w:rsidRDefault="00180C8B" w:rsidP="00180C8B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оценки деятельности работников для назначения единовременных премий по итогам работы за месяц (более 20 критериев).</w:t>
      </w:r>
    </w:p>
    <w:p w14:paraId="7FAB171D" w14:textId="77777777" w:rsidR="00180C8B" w:rsidRPr="00180B4F" w:rsidRDefault="00180C8B" w:rsidP="00180C8B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color w:val="000000" w:themeColor="text1"/>
          <w:sz w:val="24"/>
          <w:szCs w:val="24"/>
        </w:rPr>
        <w:t>Методики расчета показателей эффективности деятельности работников (несколько вариантов).</w:t>
      </w:r>
    </w:p>
    <w:p w14:paraId="0C22504B" w14:textId="77777777" w:rsidR="00180C8B" w:rsidRPr="00180B4F" w:rsidRDefault="00180C8B" w:rsidP="00180C8B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Перечень показателей и критериев оценки эффективности деятельности работников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дошкольного </w:t>
      </w: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образовательно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</w:t>
      </w: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учреждения</w:t>
      </w: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соотнесенный с единым квалификационным справочником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80B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профессиональными стандартами</w:t>
      </w: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(показатель – должности – значение показателя – порядок расчета).</w:t>
      </w:r>
    </w:p>
    <w:p w14:paraId="105D3983" w14:textId="77777777" w:rsidR="00180B4F" w:rsidRP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приказа об установлении стоимости балла для назначения выплат стимулирующего характера (в случае применения в школе балльной системы оценивания педагогических работников).</w:t>
      </w:r>
    </w:p>
    <w:p w14:paraId="63740CFD" w14:textId="285959CF" w:rsidR="00180B4F" w:rsidRP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учреждения об утверждении выплат стимулирующего характера в случае несогласия </w:t>
      </w:r>
      <w:r w:rsidR="001266E3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заведующего</w:t>
      </w: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</w:t>
      </w:r>
      <w:r w:rsidR="001266E3"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решением комиссии по оплате труда.</w:t>
      </w:r>
    </w:p>
    <w:p w14:paraId="762331CE" w14:textId="77777777" w:rsidR="00180B4F" w:rsidRP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учреждения о премировании работников.</w:t>
      </w:r>
    </w:p>
    <w:p w14:paraId="3F3A9B41" w14:textId="77777777" w:rsidR="00180B4F" w:rsidRPr="00180B4F" w:rsidRDefault="00180B4F" w:rsidP="00180B4F">
      <w:pPr>
        <w:pStyle w:val="af7"/>
        <w:numPr>
          <w:ilvl w:val="0"/>
          <w:numId w:val="39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0B4F">
        <w:rPr>
          <w:rFonts w:ascii="Times New Roman" w:hAnsi="Times New Roman" w:cs="Times New Roman"/>
          <w:sz w:val="24"/>
          <w:szCs w:val="24"/>
        </w:rPr>
        <w:t>Презентация по модулю.</w:t>
      </w:r>
    </w:p>
    <w:p w14:paraId="4662EA59" w14:textId="77777777" w:rsidR="00180B4F" w:rsidRDefault="00180B4F" w:rsidP="00180B4F">
      <w:pPr>
        <w:spacing w:line="216" w:lineRule="auto"/>
        <w:ind w:right="-1"/>
        <w:jc w:val="both"/>
        <w:rPr>
          <w:color w:val="000000" w:themeColor="text1"/>
        </w:rPr>
      </w:pPr>
    </w:p>
    <w:p w14:paraId="6352EF3B" w14:textId="45D213BD" w:rsidR="00F262B2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>
        <w:rPr>
          <w:rFonts w:eastAsia="Times New Roman"/>
          <w:color w:val="000000"/>
        </w:rPr>
        <w:t>170 страниц формата А4.</w:t>
      </w:r>
    </w:p>
    <w:p w14:paraId="274C16EE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D186947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44A7D78A" w14:textId="77777777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</w:p>
    <w:p w14:paraId="2EDA8CDA" w14:textId="500AAD51" w:rsidR="00180B4F" w:rsidRDefault="00180B4F" w:rsidP="00180B4F">
      <w:pPr>
        <w:spacing w:line="216" w:lineRule="auto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</w:t>
      </w:r>
    </w:p>
    <w:p w14:paraId="2729D0E4" w14:textId="11CAA093" w:rsidR="00336740" w:rsidRPr="00107693" w:rsidRDefault="00336740" w:rsidP="001E2C70">
      <w:pPr>
        <w:outlineLvl w:val="0"/>
        <w:rPr>
          <w:bCs/>
          <w:color w:val="000000" w:themeColor="text1"/>
        </w:rPr>
      </w:pPr>
    </w:p>
    <w:sectPr w:rsidR="00336740" w:rsidRPr="00107693" w:rsidSect="001E2C7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39336" w14:textId="77777777" w:rsidR="00D217C3" w:rsidRDefault="00D217C3" w:rsidP="003D6267">
      <w:r>
        <w:separator/>
      </w:r>
    </w:p>
  </w:endnote>
  <w:endnote w:type="continuationSeparator" w:id="0">
    <w:p w14:paraId="4B46978D" w14:textId="77777777" w:rsidR="00D217C3" w:rsidRDefault="00D217C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DE395" w14:textId="77777777" w:rsidR="00D217C3" w:rsidRDefault="00D217C3" w:rsidP="003D6267">
      <w:r>
        <w:separator/>
      </w:r>
    </w:p>
  </w:footnote>
  <w:footnote w:type="continuationSeparator" w:id="0">
    <w:p w14:paraId="33613AC2" w14:textId="77777777" w:rsidR="00D217C3" w:rsidRDefault="00D217C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D55BC1" w:rsidRPr="00D55BC1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D6271A"/>
    <w:multiLevelType w:val="hybridMultilevel"/>
    <w:tmpl w:val="186C6D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734475">
    <w:abstractNumId w:val="42"/>
  </w:num>
  <w:num w:numId="2" w16cid:durableId="582180387">
    <w:abstractNumId w:val="8"/>
  </w:num>
  <w:num w:numId="3" w16cid:durableId="1266619707">
    <w:abstractNumId w:val="32"/>
  </w:num>
  <w:num w:numId="4" w16cid:durableId="1533421092">
    <w:abstractNumId w:val="25"/>
  </w:num>
  <w:num w:numId="5" w16cid:durableId="2124415411">
    <w:abstractNumId w:val="26"/>
  </w:num>
  <w:num w:numId="6" w16cid:durableId="1535847063">
    <w:abstractNumId w:val="24"/>
  </w:num>
  <w:num w:numId="7" w16cid:durableId="39015959">
    <w:abstractNumId w:val="40"/>
  </w:num>
  <w:num w:numId="8" w16cid:durableId="1663507154">
    <w:abstractNumId w:val="39"/>
  </w:num>
  <w:num w:numId="9" w16cid:durableId="1839037209">
    <w:abstractNumId w:val="20"/>
  </w:num>
  <w:num w:numId="10" w16cid:durableId="1307008510">
    <w:abstractNumId w:val="1"/>
  </w:num>
  <w:num w:numId="11" w16cid:durableId="159318458">
    <w:abstractNumId w:val="10"/>
  </w:num>
  <w:num w:numId="12" w16cid:durableId="1755932550">
    <w:abstractNumId w:val="12"/>
  </w:num>
  <w:num w:numId="13" w16cid:durableId="461654838">
    <w:abstractNumId w:val="33"/>
  </w:num>
  <w:num w:numId="14" w16cid:durableId="685866466">
    <w:abstractNumId w:val="19"/>
  </w:num>
  <w:num w:numId="15" w16cid:durableId="228541036">
    <w:abstractNumId w:val="23"/>
  </w:num>
  <w:num w:numId="16" w16cid:durableId="754591661">
    <w:abstractNumId w:val="41"/>
  </w:num>
  <w:num w:numId="17" w16cid:durableId="1162231973">
    <w:abstractNumId w:val="16"/>
  </w:num>
  <w:num w:numId="18" w16cid:durableId="1563709095">
    <w:abstractNumId w:val="14"/>
  </w:num>
  <w:num w:numId="19" w16cid:durableId="1617827211">
    <w:abstractNumId w:val="2"/>
  </w:num>
  <w:num w:numId="20" w16cid:durableId="1207328030">
    <w:abstractNumId w:val="37"/>
  </w:num>
  <w:num w:numId="21" w16cid:durableId="2064669310">
    <w:abstractNumId w:val="28"/>
  </w:num>
  <w:num w:numId="22" w16cid:durableId="42756940">
    <w:abstractNumId w:val="17"/>
  </w:num>
  <w:num w:numId="23" w16cid:durableId="354498848">
    <w:abstractNumId w:val="3"/>
  </w:num>
  <w:num w:numId="24" w16cid:durableId="803355566">
    <w:abstractNumId w:val="11"/>
  </w:num>
  <w:num w:numId="25" w16cid:durableId="669336555">
    <w:abstractNumId w:val="36"/>
  </w:num>
  <w:num w:numId="26" w16cid:durableId="1081835232">
    <w:abstractNumId w:val="7"/>
  </w:num>
  <w:num w:numId="27" w16cid:durableId="1308126398">
    <w:abstractNumId w:val="13"/>
  </w:num>
  <w:num w:numId="28" w16cid:durableId="284309343">
    <w:abstractNumId w:val="15"/>
  </w:num>
  <w:num w:numId="29" w16cid:durableId="940799525">
    <w:abstractNumId w:val="31"/>
  </w:num>
  <w:num w:numId="30" w16cid:durableId="1172066832">
    <w:abstractNumId w:val="27"/>
  </w:num>
  <w:num w:numId="31" w16cid:durableId="1747846875">
    <w:abstractNumId w:val="0"/>
  </w:num>
  <w:num w:numId="32" w16cid:durableId="1197350683">
    <w:abstractNumId w:val="6"/>
  </w:num>
  <w:num w:numId="33" w16cid:durableId="279799809">
    <w:abstractNumId w:val="34"/>
  </w:num>
  <w:num w:numId="34" w16cid:durableId="2081055545">
    <w:abstractNumId w:val="9"/>
  </w:num>
  <w:num w:numId="35" w16cid:durableId="163513505">
    <w:abstractNumId w:val="43"/>
  </w:num>
  <w:num w:numId="36" w16cid:durableId="1215117288">
    <w:abstractNumId w:val="38"/>
  </w:num>
  <w:num w:numId="37" w16cid:durableId="584725690">
    <w:abstractNumId w:val="18"/>
  </w:num>
  <w:num w:numId="38" w16cid:durableId="1001808458">
    <w:abstractNumId w:val="30"/>
  </w:num>
  <w:num w:numId="39" w16cid:durableId="1701663037">
    <w:abstractNumId w:val="29"/>
  </w:num>
  <w:num w:numId="40" w16cid:durableId="666984791">
    <w:abstractNumId w:val="5"/>
  </w:num>
  <w:num w:numId="41" w16cid:durableId="1566408106">
    <w:abstractNumId w:val="35"/>
  </w:num>
  <w:num w:numId="42" w16cid:durableId="245111207">
    <w:abstractNumId w:val="21"/>
  </w:num>
  <w:num w:numId="43" w16cid:durableId="252782139">
    <w:abstractNumId w:val="22"/>
  </w:num>
  <w:num w:numId="44" w16cid:durableId="1452632538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49D5"/>
    <w:rsid w:val="000158D5"/>
    <w:rsid w:val="00015F2C"/>
    <w:rsid w:val="0001620D"/>
    <w:rsid w:val="00016556"/>
    <w:rsid w:val="00016B0E"/>
    <w:rsid w:val="00017665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51A"/>
    <w:rsid w:val="000257A3"/>
    <w:rsid w:val="00025977"/>
    <w:rsid w:val="00030052"/>
    <w:rsid w:val="000306D1"/>
    <w:rsid w:val="00031250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0DDA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1C4B"/>
    <w:rsid w:val="00062085"/>
    <w:rsid w:val="000625C3"/>
    <w:rsid w:val="00062D3C"/>
    <w:rsid w:val="000640C2"/>
    <w:rsid w:val="00065686"/>
    <w:rsid w:val="00065F50"/>
    <w:rsid w:val="00067734"/>
    <w:rsid w:val="000707C9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224D"/>
    <w:rsid w:val="000844DA"/>
    <w:rsid w:val="00085C28"/>
    <w:rsid w:val="000908BC"/>
    <w:rsid w:val="00091E67"/>
    <w:rsid w:val="000939DF"/>
    <w:rsid w:val="00093BAD"/>
    <w:rsid w:val="00093C04"/>
    <w:rsid w:val="00095CD5"/>
    <w:rsid w:val="00095D6A"/>
    <w:rsid w:val="00097100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2FB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5C7B"/>
    <w:rsid w:val="001266E3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F7"/>
    <w:rsid w:val="00143DE1"/>
    <w:rsid w:val="0014550C"/>
    <w:rsid w:val="00145765"/>
    <w:rsid w:val="00145FB9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B4F"/>
    <w:rsid w:val="00180C8B"/>
    <w:rsid w:val="001818E7"/>
    <w:rsid w:val="00184B15"/>
    <w:rsid w:val="00185854"/>
    <w:rsid w:val="00186746"/>
    <w:rsid w:val="00192F56"/>
    <w:rsid w:val="00195408"/>
    <w:rsid w:val="00195F52"/>
    <w:rsid w:val="0019679D"/>
    <w:rsid w:val="001A55B2"/>
    <w:rsid w:val="001A666E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2C70"/>
    <w:rsid w:val="001E551C"/>
    <w:rsid w:val="001E5A17"/>
    <w:rsid w:val="001E6713"/>
    <w:rsid w:val="001E7658"/>
    <w:rsid w:val="001F0891"/>
    <w:rsid w:val="001F4C7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6F8"/>
    <w:rsid w:val="002A58B5"/>
    <w:rsid w:val="002A5CFE"/>
    <w:rsid w:val="002A7279"/>
    <w:rsid w:val="002B0147"/>
    <w:rsid w:val="002B04CC"/>
    <w:rsid w:val="002B1043"/>
    <w:rsid w:val="002B2235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021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7A8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2C2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6822"/>
    <w:rsid w:val="00497DEF"/>
    <w:rsid w:val="004A17D3"/>
    <w:rsid w:val="004A5233"/>
    <w:rsid w:val="004A5450"/>
    <w:rsid w:val="004A57F2"/>
    <w:rsid w:val="004A6709"/>
    <w:rsid w:val="004B118A"/>
    <w:rsid w:val="004B13EC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4E2"/>
    <w:rsid w:val="005125B5"/>
    <w:rsid w:val="00514E3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47A40"/>
    <w:rsid w:val="00550ABE"/>
    <w:rsid w:val="00550D9A"/>
    <w:rsid w:val="00551517"/>
    <w:rsid w:val="005535CB"/>
    <w:rsid w:val="00554294"/>
    <w:rsid w:val="005545A6"/>
    <w:rsid w:val="00560C9A"/>
    <w:rsid w:val="00561210"/>
    <w:rsid w:val="00561A7E"/>
    <w:rsid w:val="00562767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123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6001B1"/>
    <w:rsid w:val="00600655"/>
    <w:rsid w:val="006010B5"/>
    <w:rsid w:val="00602C92"/>
    <w:rsid w:val="0060392D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675B7"/>
    <w:rsid w:val="00670057"/>
    <w:rsid w:val="00670B40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0973"/>
    <w:rsid w:val="00692A4B"/>
    <w:rsid w:val="00694209"/>
    <w:rsid w:val="00695548"/>
    <w:rsid w:val="006A01ED"/>
    <w:rsid w:val="006A1B7A"/>
    <w:rsid w:val="006A26C8"/>
    <w:rsid w:val="006A3123"/>
    <w:rsid w:val="006A359A"/>
    <w:rsid w:val="006A369F"/>
    <w:rsid w:val="006A47A4"/>
    <w:rsid w:val="006A4B20"/>
    <w:rsid w:val="006A741B"/>
    <w:rsid w:val="006A7E06"/>
    <w:rsid w:val="006B021F"/>
    <w:rsid w:val="006B08C1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119"/>
    <w:rsid w:val="006C6BE1"/>
    <w:rsid w:val="006C6E61"/>
    <w:rsid w:val="006C71C3"/>
    <w:rsid w:val="006C7B9F"/>
    <w:rsid w:val="006D0E56"/>
    <w:rsid w:val="006D0F23"/>
    <w:rsid w:val="006D1B15"/>
    <w:rsid w:val="006D1D8E"/>
    <w:rsid w:val="006D2399"/>
    <w:rsid w:val="006D2FB4"/>
    <w:rsid w:val="006D4011"/>
    <w:rsid w:val="006D4624"/>
    <w:rsid w:val="006D4B0D"/>
    <w:rsid w:val="006D517B"/>
    <w:rsid w:val="006D55D5"/>
    <w:rsid w:val="006D5C34"/>
    <w:rsid w:val="006D63F0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5607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092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0F35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2FBC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43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2EC"/>
    <w:rsid w:val="00817AA9"/>
    <w:rsid w:val="00820F17"/>
    <w:rsid w:val="0082110A"/>
    <w:rsid w:val="00822698"/>
    <w:rsid w:val="008242F6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375AD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32"/>
    <w:rsid w:val="008561A1"/>
    <w:rsid w:val="00856A08"/>
    <w:rsid w:val="00856AD5"/>
    <w:rsid w:val="00857182"/>
    <w:rsid w:val="00857F75"/>
    <w:rsid w:val="00860FE6"/>
    <w:rsid w:val="008623DF"/>
    <w:rsid w:val="00874AC5"/>
    <w:rsid w:val="008754ED"/>
    <w:rsid w:val="00875A3E"/>
    <w:rsid w:val="00875B6E"/>
    <w:rsid w:val="0088050A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477"/>
    <w:rsid w:val="008D1E4E"/>
    <w:rsid w:val="008D4235"/>
    <w:rsid w:val="008D4BE6"/>
    <w:rsid w:val="008D5914"/>
    <w:rsid w:val="008D5C96"/>
    <w:rsid w:val="008D5D1F"/>
    <w:rsid w:val="008D6DDC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A53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BF0"/>
    <w:rsid w:val="00951917"/>
    <w:rsid w:val="009527FD"/>
    <w:rsid w:val="00954BA2"/>
    <w:rsid w:val="00955D19"/>
    <w:rsid w:val="00960CF8"/>
    <w:rsid w:val="00962A49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CC6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2D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20A"/>
    <w:rsid w:val="00A70A5E"/>
    <w:rsid w:val="00A70EF4"/>
    <w:rsid w:val="00A71EA1"/>
    <w:rsid w:val="00A720FF"/>
    <w:rsid w:val="00A7235D"/>
    <w:rsid w:val="00A74DE7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097C"/>
    <w:rsid w:val="00AA129C"/>
    <w:rsid w:val="00AA1BBD"/>
    <w:rsid w:val="00AA2838"/>
    <w:rsid w:val="00AA2DA9"/>
    <w:rsid w:val="00AA3319"/>
    <w:rsid w:val="00AA436E"/>
    <w:rsid w:val="00AA49F4"/>
    <w:rsid w:val="00AA6919"/>
    <w:rsid w:val="00AA6B2A"/>
    <w:rsid w:val="00AA6EB2"/>
    <w:rsid w:val="00AB05FD"/>
    <w:rsid w:val="00AB0C07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E008C"/>
    <w:rsid w:val="00AE18F7"/>
    <w:rsid w:val="00AE44E7"/>
    <w:rsid w:val="00AE4575"/>
    <w:rsid w:val="00AE4F03"/>
    <w:rsid w:val="00AE55F4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57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443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6FF7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49"/>
    <w:rsid w:val="00B56D7E"/>
    <w:rsid w:val="00B5725A"/>
    <w:rsid w:val="00B60AA0"/>
    <w:rsid w:val="00B60F3F"/>
    <w:rsid w:val="00B63136"/>
    <w:rsid w:val="00B649C8"/>
    <w:rsid w:val="00B64F60"/>
    <w:rsid w:val="00B65CF1"/>
    <w:rsid w:val="00B65F09"/>
    <w:rsid w:val="00B66A91"/>
    <w:rsid w:val="00B708FC"/>
    <w:rsid w:val="00B724A3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134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CE1"/>
    <w:rsid w:val="00C21DFD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594"/>
    <w:rsid w:val="00CA25A1"/>
    <w:rsid w:val="00CA48C4"/>
    <w:rsid w:val="00CA5998"/>
    <w:rsid w:val="00CA6229"/>
    <w:rsid w:val="00CA6468"/>
    <w:rsid w:val="00CA6953"/>
    <w:rsid w:val="00CA6AE6"/>
    <w:rsid w:val="00CA6D38"/>
    <w:rsid w:val="00CA7622"/>
    <w:rsid w:val="00CA7838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278"/>
    <w:rsid w:val="00CF4395"/>
    <w:rsid w:val="00CF645B"/>
    <w:rsid w:val="00D00475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18A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17C3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27A27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5BC1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07AB"/>
    <w:rsid w:val="00D756C0"/>
    <w:rsid w:val="00D75C5E"/>
    <w:rsid w:val="00D7632B"/>
    <w:rsid w:val="00D76BA8"/>
    <w:rsid w:val="00D805D5"/>
    <w:rsid w:val="00D8325E"/>
    <w:rsid w:val="00D84232"/>
    <w:rsid w:val="00D85784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57AE"/>
    <w:rsid w:val="00D966BA"/>
    <w:rsid w:val="00D9690B"/>
    <w:rsid w:val="00D97A67"/>
    <w:rsid w:val="00DA10B1"/>
    <w:rsid w:val="00DA1AC7"/>
    <w:rsid w:val="00DA2994"/>
    <w:rsid w:val="00DA316A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1F3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5DC5"/>
    <w:rsid w:val="00E260B1"/>
    <w:rsid w:val="00E26214"/>
    <w:rsid w:val="00E271A3"/>
    <w:rsid w:val="00E30530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3CD3"/>
    <w:rsid w:val="00E44B83"/>
    <w:rsid w:val="00E44D99"/>
    <w:rsid w:val="00E4659F"/>
    <w:rsid w:val="00E52BFC"/>
    <w:rsid w:val="00E52DC0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6FD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0901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98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262B2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43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65D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095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ED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82269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7A5E3-B5AD-46F9-B6C8-7FDB5A4B6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1107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7403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2026-01-11T10:36:00Z</cp:lastPrinted>
  <dcterms:created xsi:type="dcterms:W3CDTF">2026-01-15T08:22:00Z</dcterms:created>
  <dcterms:modified xsi:type="dcterms:W3CDTF">2026-01-15T08:24:00Z</dcterms:modified>
</cp:coreProperties>
</file>